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0B" w:rsidRPr="00F8667E" w:rsidRDefault="00AC2F0B" w:rsidP="00AC2F0B">
      <w:pPr>
        <w:jc w:val="both"/>
        <w:rPr>
          <w:rFonts w:ascii="Arial" w:hAnsi="Arial"/>
          <w:sz w:val="22"/>
        </w:rPr>
      </w:pPr>
      <w:bookmarkStart w:id="0" w:name="_GoBack"/>
      <w:bookmarkEnd w:id="0"/>
    </w:p>
    <w:p w:rsidR="00AC2F0B" w:rsidRPr="00990514" w:rsidRDefault="00AC2F0B" w:rsidP="00115EE6">
      <w:pPr>
        <w:numPr>
          <w:ilvl w:val="0"/>
          <w:numId w:val="42"/>
        </w:numPr>
        <w:tabs>
          <w:tab w:val="clear" w:pos="720"/>
          <w:tab w:val="num" w:pos="284"/>
        </w:tabs>
        <w:ind w:left="284" w:hanging="284"/>
        <w:jc w:val="both"/>
        <w:rPr>
          <w:rFonts w:ascii="Arial" w:hAnsi="Arial" w:cs="Arial"/>
          <w:bCs/>
          <w:spacing w:val="-3"/>
          <w:sz w:val="22"/>
          <w:szCs w:val="22"/>
        </w:rPr>
      </w:pPr>
      <w:r w:rsidRPr="00990514">
        <w:rPr>
          <w:rFonts w:ascii="Arial" w:hAnsi="Arial" w:cs="Arial"/>
          <w:bCs/>
          <w:spacing w:val="-3"/>
          <w:sz w:val="22"/>
          <w:szCs w:val="22"/>
        </w:rPr>
        <w:t>The Queensland Government has committed to the national Council of Australian Governments (COAG) National Indigenous Reform Agreement to close the gap between the life outcomes and opportunities experienced by Aboriginal and Torres Strait Islander peoples and their non-Indigenous counterparts, particularly in rela</w:t>
      </w:r>
      <w:r w:rsidR="00AE1A3A">
        <w:rPr>
          <w:rFonts w:ascii="Arial" w:hAnsi="Arial" w:cs="Arial"/>
          <w:bCs/>
          <w:spacing w:val="-3"/>
          <w:sz w:val="22"/>
          <w:szCs w:val="22"/>
        </w:rPr>
        <w:t>tion to life expectancy, under five years</w:t>
      </w:r>
      <w:r w:rsidRPr="00990514">
        <w:rPr>
          <w:rFonts w:ascii="Arial" w:hAnsi="Arial" w:cs="Arial"/>
          <w:bCs/>
          <w:spacing w:val="-3"/>
          <w:sz w:val="22"/>
          <w:szCs w:val="22"/>
        </w:rPr>
        <w:t xml:space="preserve"> child mortality, access to early childhood education, literacy and numeracy, year 12 attainment, </w:t>
      </w:r>
      <w:r w:rsidR="00AE1A3A">
        <w:rPr>
          <w:rFonts w:ascii="Arial" w:hAnsi="Arial" w:cs="Arial"/>
          <w:bCs/>
          <w:spacing w:val="-3"/>
          <w:sz w:val="22"/>
          <w:szCs w:val="22"/>
        </w:rPr>
        <w:t xml:space="preserve">and </w:t>
      </w:r>
      <w:r w:rsidRPr="00990514">
        <w:rPr>
          <w:rFonts w:ascii="Arial" w:hAnsi="Arial" w:cs="Arial"/>
          <w:bCs/>
          <w:spacing w:val="-3"/>
          <w:sz w:val="22"/>
          <w:szCs w:val="22"/>
        </w:rPr>
        <w:t>employment. The Commonwealth, State and Territory Governments have committed a combined national total of $8.142 billion to address these issues. This investment commenced in 2008-</w:t>
      </w:r>
      <w:r w:rsidR="00AE1A3A">
        <w:rPr>
          <w:rFonts w:ascii="Arial" w:hAnsi="Arial" w:cs="Arial"/>
          <w:bCs/>
          <w:spacing w:val="-3"/>
          <w:sz w:val="22"/>
          <w:szCs w:val="22"/>
        </w:rPr>
        <w:t>20</w:t>
      </w:r>
      <w:r w:rsidRPr="00990514">
        <w:rPr>
          <w:rFonts w:ascii="Arial" w:hAnsi="Arial" w:cs="Arial"/>
          <w:bCs/>
          <w:spacing w:val="-3"/>
          <w:sz w:val="22"/>
          <w:szCs w:val="22"/>
        </w:rPr>
        <w:t>09 and is being progressively rolled out over 10 years.</w:t>
      </w:r>
    </w:p>
    <w:p w:rsidR="00AC2F0B" w:rsidRPr="00990514" w:rsidRDefault="00AC2F0B" w:rsidP="00115EE6">
      <w:pPr>
        <w:tabs>
          <w:tab w:val="num" w:pos="284"/>
        </w:tabs>
        <w:ind w:left="284" w:hanging="284"/>
        <w:jc w:val="both"/>
        <w:rPr>
          <w:rFonts w:ascii="Arial" w:hAnsi="Arial" w:cs="Arial"/>
          <w:bCs/>
          <w:spacing w:val="-3"/>
          <w:sz w:val="22"/>
          <w:szCs w:val="22"/>
        </w:rPr>
      </w:pPr>
    </w:p>
    <w:p w:rsidR="00AC2F0B" w:rsidRPr="00990514" w:rsidRDefault="00AC2F0B" w:rsidP="00115EE6">
      <w:pPr>
        <w:numPr>
          <w:ilvl w:val="0"/>
          <w:numId w:val="42"/>
        </w:numPr>
        <w:tabs>
          <w:tab w:val="clear" w:pos="720"/>
          <w:tab w:val="num" w:pos="284"/>
        </w:tabs>
        <w:ind w:left="284" w:hanging="284"/>
        <w:jc w:val="both"/>
        <w:rPr>
          <w:rFonts w:ascii="Arial" w:hAnsi="Arial" w:cs="Arial"/>
          <w:bCs/>
          <w:spacing w:val="-3"/>
          <w:sz w:val="22"/>
          <w:szCs w:val="22"/>
        </w:rPr>
      </w:pPr>
      <w:r w:rsidRPr="00990514">
        <w:rPr>
          <w:rFonts w:ascii="Arial" w:hAnsi="Arial" w:cs="Arial"/>
          <w:bCs/>
          <w:spacing w:val="-3"/>
          <w:sz w:val="22"/>
          <w:szCs w:val="22"/>
        </w:rPr>
        <w:t>It is noted that some 75% of Indigenous people live in urban and regional Queensland and around 15% of Indigenous Queenslanders live in the Cape York and Gulf regions</w:t>
      </w:r>
      <w:r w:rsidR="003233A3">
        <w:rPr>
          <w:rFonts w:ascii="Arial" w:hAnsi="Arial" w:cs="Arial"/>
          <w:bCs/>
          <w:spacing w:val="-3"/>
          <w:sz w:val="22"/>
          <w:szCs w:val="22"/>
        </w:rPr>
        <w:t>. O</w:t>
      </w:r>
      <w:r w:rsidRPr="00990514">
        <w:rPr>
          <w:rFonts w:ascii="Arial" w:hAnsi="Arial" w:cs="Arial"/>
          <w:bCs/>
          <w:spacing w:val="-3"/>
          <w:sz w:val="22"/>
          <w:szCs w:val="22"/>
        </w:rPr>
        <w:t>nly a small number of this 15% would be on outstations at any time.</w:t>
      </w:r>
    </w:p>
    <w:p w:rsidR="00AC2F0B" w:rsidRPr="00990514" w:rsidRDefault="00AC2F0B" w:rsidP="00115EE6">
      <w:pPr>
        <w:tabs>
          <w:tab w:val="num" w:pos="284"/>
        </w:tabs>
        <w:ind w:left="284" w:hanging="284"/>
        <w:jc w:val="both"/>
        <w:rPr>
          <w:rFonts w:ascii="Arial" w:hAnsi="Arial" w:cs="Arial"/>
          <w:bCs/>
          <w:spacing w:val="-3"/>
          <w:sz w:val="22"/>
          <w:szCs w:val="22"/>
        </w:rPr>
      </w:pPr>
    </w:p>
    <w:p w:rsidR="00AC2F0B" w:rsidRPr="00F8667E" w:rsidRDefault="00AC2F0B" w:rsidP="00115EE6">
      <w:pPr>
        <w:numPr>
          <w:ilvl w:val="0"/>
          <w:numId w:val="42"/>
        </w:numPr>
        <w:tabs>
          <w:tab w:val="clear" w:pos="720"/>
          <w:tab w:val="num" w:pos="284"/>
        </w:tabs>
        <w:ind w:left="284" w:hanging="284"/>
        <w:jc w:val="both"/>
        <w:rPr>
          <w:rFonts w:ascii="Arial" w:hAnsi="Arial" w:cs="Arial"/>
          <w:bCs/>
          <w:spacing w:val="-3"/>
          <w:sz w:val="22"/>
          <w:szCs w:val="22"/>
        </w:rPr>
      </w:pPr>
      <w:r w:rsidRPr="00F8667E">
        <w:rPr>
          <w:rFonts w:ascii="Arial" w:hAnsi="Arial"/>
          <w:sz w:val="22"/>
        </w:rPr>
        <w:t xml:space="preserve">The </w:t>
      </w:r>
      <w:r w:rsidR="009767D9">
        <w:rPr>
          <w:rFonts w:ascii="Arial" w:hAnsi="Arial"/>
          <w:sz w:val="22"/>
        </w:rPr>
        <w:t>National Investment Princip</w:t>
      </w:r>
      <w:r w:rsidR="00F75196">
        <w:rPr>
          <w:rFonts w:ascii="Arial" w:hAnsi="Arial"/>
          <w:sz w:val="22"/>
        </w:rPr>
        <w:t>le</w:t>
      </w:r>
      <w:r w:rsidR="009767D9">
        <w:rPr>
          <w:rFonts w:ascii="Arial" w:hAnsi="Arial"/>
          <w:sz w:val="22"/>
        </w:rPr>
        <w:t>s in Remote Locations in Schedule E of the Nat</w:t>
      </w:r>
      <w:r w:rsidR="003D4BBB" w:rsidRPr="00990514">
        <w:rPr>
          <w:rFonts w:ascii="Arial" w:hAnsi="Arial" w:cs="Arial"/>
          <w:bCs/>
          <w:spacing w:val="-3"/>
          <w:sz w:val="22"/>
          <w:szCs w:val="22"/>
        </w:rPr>
        <w:t>ional Indigenous Reform Agreement</w:t>
      </w:r>
      <w:r w:rsidRPr="00F8667E">
        <w:rPr>
          <w:rFonts w:ascii="Arial" w:hAnsi="Arial"/>
          <w:sz w:val="22"/>
        </w:rPr>
        <w:t xml:space="preserve"> </w:t>
      </w:r>
      <w:r w:rsidR="009767D9">
        <w:rPr>
          <w:rFonts w:ascii="Arial" w:hAnsi="Arial"/>
          <w:sz w:val="22"/>
        </w:rPr>
        <w:t xml:space="preserve">specify </w:t>
      </w:r>
      <w:r w:rsidRPr="00F8667E">
        <w:rPr>
          <w:rFonts w:ascii="Arial" w:hAnsi="Arial" w:cs="Arial"/>
          <w:sz w:val="22"/>
          <w:szCs w:val="24"/>
        </w:rPr>
        <w:t xml:space="preserve">that </w:t>
      </w:r>
      <w:r w:rsidR="009767D9">
        <w:rPr>
          <w:rFonts w:ascii="Arial" w:hAnsi="Arial" w:cs="Arial"/>
          <w:sz w:val="22"/>
          <w:szCs w:val="24"/>
        </w:rPr>
        <w:t xml:space="preserve">priority for </w:t>
      </w:r>
      <w:r w:rsidRPr="00F8667E">
        <w:rPr>
          <w:rFonts w:ascii="Arial" w:hAnsi="Arial" w:cs="Arial"/>
          <w:sz w:val="22"/>
          <w:szCs w:val="24"/>
        </w:rPr>
        <w:t xml:space="preserve">enhanced infrastructure support and service provision should be directed to larger and more economically sustainable communities where secure land tenure exists. </w:t>
      </w:r>
    </w:p>
    <w:p w:rsidR="00AC2F0B" w:rsidRPr="00990514" w:rsidRDefault="00AC2F0B" w:rsidP="00AC2F0B">
      <w:pPr>
        <w:jc w:val="both"/>
        <w:rPr>
          <w:rFonts w:ascii="Arial" w:hAnsi="Arial" w:cs="Arial"/>
          <w:bCs/>
          <w:spacing w:val="-3"/>
          <w:sz w:val="22"/>
          <w:szCs w:val="22"/>
        </w:rPr>
      </w:pPr>
    </w:p>
    <w:p w:rsidR="00AC2F0B" w:rsidRPr="00F8667E" w:rsidRDefault="00AC2F0B" w:rsidP="009E2D5C">
      <w:pPr>
        <w:numPr>
          <w:ilvl w:val="0"/>
          <w:numId w:val="42"/>
        </w:numPr>
        <w:tabs>
          <w:tab w:val="clear" w:pos="720"/>
          <w:tab w:val="num" w:pos="284"/>
        </w:tabs>
        <w:ind w:left="284" w:hanging="284"/>
        <w:jc w:val="both"/>
        <w:rPr>
          <w:rFonts w:ascii="Arial" w:hAnsi="Arial" w:cs="Arial"/>
          <w:bCs/>
          <w:spacing w:val="-3"/>
          <w:sz w:val="22"/>
          <w:szCs w:val="22"/>
        </w:rPr>
      </w:pPr>
      <w:r w:rsidRPr="009E2D5C">
        <w:rPr>
          <w:rFonts w:ascii="Arial" w:hAnsi="Arial" w:cs="Arial"/>
          <w:bCs/>
          <w:spacing w:val="-3"/>
          <w:sz w:val="22"/>
          <w:szCs w:val="22"/>
          <w:u w:val="single"/>
        </w:rPr>
        <w:t xml:space="preserve">Cabinet </w:t>
      </w:r>
      <w:r w:rsidR="009E2D5C" w:rsidRPr="009E2D5C">
        <w:rPr>
          <w:rFonts w:ascii="Arial" w:hAnsi="Arial" w:cs="Arial"/>
          <w:bCs/>
          <w:spacing w:val="-3"/>
          <w:sz w:val="22"/>
          <w:szCs w:val="22"/>
          <w:u w:val="single"/>
        </w:rPr>
        <w:t>decided</w:t>
      </w:r>
      <w:r w:rsidR="009E2D5C" w:rsidRPr="00B01B7D">
        <w:rPr>
          <w:rFonts w:ascii="Arial" w:hAnsi="Arial" w:cs="Arial"/>
          <w:bCs/>
          <w:spacing w:val="-3"/>
          <w:sz w:val="22"/>
          <w:szCs w:val="22"/>
        </w:rPr>
        <w:t xml:space="preserve"> to adopt</w:t>
      </w:r>
      <w:r w:rsidR="009E2D5C">
        <w:rPr>
          <w:rFonts w:ascii="Arial" w:hAnsi="Arial" w:cs="Arial"/>
          <w:bCs/>
          <w:spacing w:val="-3"/>
          <w:sz w:val="22"/>
          <w:szCs w:val="22"/>
        </w:rPr>
        <w:t xml:space="preserve"> a policy position on outstations that includes</w:t>
      </w:r>
      <w:r w:rsidRPr="00F8667E">
        <w:rPr>
          <w:rFonts w:ascii="Arial" w:hAnsi="Arial" w:cs="Arial"/>
          <w:bCs/>
          <w:spacing w:val="-3"/>
          <w:sz w:val="22"/>
          <w:szCs w:val="22"/>
        </w:rPr>
        <w:t>:</w:t>
      </w:r>
    </w:p>
    <w:p w:rsidR="00AC2F0B" w:rsidRPr="00F8667E" w:rsidRDefault="00AC2F0B" w:rsidP="00AC2F0B">
      <w:pPr>
        <w:jc w:val="both"/>
        <w:rPr>
          <w:rFonts w:ascii="Arial" w:hAnsi="Arial" w:cs="Arial"/>
          <w:bCs/>
          <w:spacing w:val="-3"/>
          <w:sz w:val="22"/>
          <w:szCs w:val="22"/>
        </w:rPr>
      </w:pPr>
    </w:p>
    <w:p w:rsidR="00AC2F0B" w:rsidRPr="00F8667E" w:rsidRDefault="00AC2F0B" w:rsidP="00115EE6">
      <w:pPr>
        <w:numPr>
          <w:ilvl w:val="0"/>
          <w:numId w:val="41"/>
        </w:numPr>
        <w:tabs>
          <w:tab w:val="clear" w:pos="360"/>
          <w:tab w:val="num" w:pos="567"/>
        </w:tabs>
        <w:ind w:left="567" w:hanging="283"/>
        <w:jc w:val="both"/>
        <w:rPr>
          <w:rFonts w:ascii="Arial" w:hAnsi="Arial" w:cs="Arial"/>
          <w:bCs/>
          <w:spacing w:val="-3"/>
          <w:sz w:val="22"/>
          <w:szCs w:val="22"/>
        </w:rPr>
      </w:pPr>
      <w:r w:rsidRPr="00F8667E">
        <w:rPr>
          <w:rFonts w:ascii="Arial" w:hAnsi="Arial" w:cs="Arial"/>
          <w:bCs/>
          <w:spacing w:val="-3"/>
          <w:sz w:val="22"/>
          <w:szCs w:val="22"/>
        </w:rPr>
        <w:t>acknowledg</w:t>
      </w:r>
      <w:r w:rsidR="009E2D5C">
        <w:rPr>
          <w:rFonts w:ascii="Arial" w:hAnsi="Arial" w:cs="Arial"/>
          <w:bCs/>
          <w:spacing w:val="-3"/>
          <w:sz w:val="22"/>
          <w:szCs w:val="22"/>
        </w:rPr>
        <w:t>ing</w:t>
      </w:r>
      <w:r w:rsidRPr="00F8667E">
        <w:rPr>
          <w:rFonts w:ascii="Arial" w:hAnsi="Arial" w:cs="Arial"/>
          <w:bCs/>
          <w:spacing w:val="-3"/>
          <w:sz w:val="22"/>
          <w:szCs w:val="22"/>
        </w:rPr>
        <w:t xml:space="preserve"> the cultural significance of </w:t>
      </w:r>
      <w:r>
        <w:rPr>
          <w:rFonts w:ascii="Arial" w:hAnsi="Arial" w:cs="Arial"/>
          <w:bCs/>
          <w:spacing w:val="-3"/>
          <w:sz w:val="22"/>
          <w:szCs w:val="22"/>
        </w:rPr>
        <w:t>outstations</w:t>
      </w:r>
      <w:r w:rsidRPr="00F8667E">
        <w:rPr>
          <w:rFonts w:ascii="Arial" w:hAnsi="Arial" w:cs="Arial"/>
          <w:bCs/>
          <w:spacing w:val="-3"/>
          <w:sz w:val="22"/>
          <w:szCs w:val="22"/>
        </w:rPr>
        <w:t xml:space="preserve"> to Aboriginal and Torres Strait Islander peoples;</w:t>
      </w:r>
    </w:p>
    <w:p w:rsidR="00AC2F0B" w:rsidRPr="00F8667E" w:rsidRDefault="00AC2F0B" w:rsidP="00115EE6">
      <w:pPr>
        <w:tabs>
          <w:tab w:val="num" w:pos="567"/>
        </w:tabs>
        <w:ind w:left="567" w:hanging="283"/>
        <w:jc w:val="both"/>
        <w:rPr>
          <w:rFonts w:ascii="Arial" w:hAnsi="Arial" w:cs="Arial"/>
          <w:bCs/>
          <w:spacing w:val="-3"/>
          <w:sz w:val="22"/>
          <w:szCs w:val="22"/>
        </w:rPr>
      </w:pPr>
    </w:p>
    <w:p w:rsidR="00AC2F0B" w:rsidRPr="00F8667E" w:rsidRDefault="00AC2F0B" w:rsidP="00115EE6">
      <w:pPr>
        <w:numPr>
          <w:ilvl w:val="0"/>
          <w:numId w:val="41"/>
        </w:numPr>
        <w:tabs>
          <w:tab w:val="clear" w:pos="360"/>
          <w:tab w:val="num" w:pos="567"/>
        </w:tabs>
        <w:ind w:left="567" w:hanging="283"/>
        <w:jc w:val="both"/>
        <w:rPr>
          <w:rFonts w:ascii="Arial" w:hAnsi="Arial" w:cs="Arial"/>
          <w:bCs/>
          <w:spacing w:val="-3"/>
          <w:sz w:val="22"/>
          <w:szCs w:val="22"/>
        </w:rPr>
      </w:pPr>
      <w:r w:rsidRPr="00F8667E">
        <w:rPr>
          <w:rFonts w:ascii="Arial" w:hAnsi="Arial" w:cs="Arial"/>
          <w:bCs/>
          <w:spacing w:val="-3"/>
          <w:sz w:val="22"/>
          <w:szCs w:val="22"/>
        </w:rPr>
        <w:t xml:space="preserve">the priority focus on funding for infrastructure, including housing and related infrastructure, and service delivery for discrete Indigenous communities over the next decade </w:t>
      </w:r>
      <w:r w:rsidR="009E2D5C">
        <w:rPr>
          <w:rFonts w:ascii="Arial" w:hAnsi="Arial" w:cs="Arial"/>
          <w:bCs/>
          <w:spacing w:val="-3"/>
          <w:sz w:val="22"/>
          <w:szCs w:val="22"/>
        </w:rPr>
        <w:t>being</w:t>
      </w:r>
      <w:r w:rsidR="009E2D5C" w:rsidRPr="00F8667E">
        <w:rPr>
          <w:rFonts w:ascii="Arial" w:hAnsi="Arial" w:cs="Arial"/>
          <w:bCs/>
          <w:spacing w:val="-3"/>
          <w:sz w:val="22"/>
          <w:szCs w:val="22"/>
        </w:rPr>
        <w:t xml:space="preserve"> </w:t>
      </w:r>
      <w:r w:rsidRPr="00F8667E">
        <w:rPr>
          <w:rFonts w:ascii="Arial" w:hAnsi="Arial" w:cs="Arial"/>
          <w:bCs/>
          <w:spacing w:val="-3"/>
          <w:sz w:val="22"/>
          <w:szCs w:val="22"/>
        </w:rPr>
        <w:t xml:space="preserve">within the township areas in line with the COAG National Indigenous Reform Agenda: government service delivery will not include reliance on the use of </w:t>
      </w:r>
      <w:r>
        <w:rPr>
          <w:rFonts w:ascii="Arial" w:hAnsi="Arial" w:cs="Arial"/>
          <w:bCs/>
          <w:spacing w:val="-3"/>
          <w:sz w:val="22"/>
          <w:szCs w:val="22"/>
        </w:rPr>
        <w:t>outstations</w:t>
      </w:r>
      <w:r w:rsidRPr="00F8667E">
        <w:rPr>
          <w:rFonts w:ascii="Arial" w:hAnsi="Arial" w:cs="Arial"/>
          <w:bCs/>
          <w:spacing w:val="-3"/>
          <w:sz w:val="22"/>
          <w:szCs w:val="22"/>
        </w:rPr>
        <w:t>;</w:t>
      </w:r>
      <w:r w:rsidR="00140A5B">
        <w:rPr>
          <w:rFonts w:ascii="Arial" w:hAnsi="Arial" w:cs="Arial"/>
          <w:bCs/>
          <w:spacing w:val="-3"/>
          <w:sz w:val="22"/>
          <w:szCs w:val="22"/>
        </w:rPr>
        <w:t xml:space="preserve"> and</w:t>
      </w:r>
    </w:p>
    <w:p w:rsidR="00AC2F0B" w:rsidRPr="00F8667E" w:rsidRDefault="00AC2F0B" w:rsidP="00115EE6">
      <w:pPr>
        <w:tabs>
          <w:tab w:val="num" w:pos="567"/>
        </w:tabs>
        <w:ind w:left="567" w:hanging="283"/>
        <w:jc w:val="both"/>
        <w:rPr>
          <w:rFonts w:ascii="Arial" w:hAnsi="Arial" w:cs="Arial"/>
          <w:bCs/>
          <w:spacing w:val="-3"/>
          <w:sz w:val="22"/>
          <w:szCs w:val="22"/>
        </w:rPr>
      </w:pPr>
    </w:p>
    <w:p w:rsidR="00AC2F0B" w:rsidRPr="00F8667E" w:rsidRDefault="00AC2F0B" w:rsidP="00115EE6">
      <w:pPr>
        <w:numPr>
          <w:ilvl w:val="0"/>
          <w:numId w:val="41"/>
        </w:numPr>
        <w:tabs>
          <w:tab w:val="clear" w:pos="360"/>
          <w:tab w:val="num" w:pos="567"/>
        </w:tabs>
        <w:ind w:left="567" w:hanging="283"/>
        <w:jc w:val="both"/>
        <w:rPr>
          <w:rFonts w:ascii="Arial" w:hAnsi="Arial" w:cs="Arial"/>
          <w:bCs/>
          <w:spacing w:val="-3"/>
          <w:sz w:val="22"/>
          <w:szCs w:val="22"/>
        </w:rPr>
      </w:pPr>
      <w:r w:rsidRPr="00F8667E">
        <w:rPr>
          <w:rFonts w:ascii="Arial" w:hAnsi="Arial" w:cs="Arial"/>
          <w:bCs/>
          <w:spacing w:val="-3"/>
          <w:sz w:val="22"/>
          <w:szCs w:val="22"/>
        </w:rPr>
        <w:t>not</w:t>
      </w:r>
      <w:r w:rsidR="009E2D5C">
        <w:rPr>
          <w:rFonts w:ascii="Arial" w:hAnsi="Arial" w:cs="Arial"/>
          <w:bCs/>
          <w:spacing w:val="-3"/>
          <w:sz w:val="22"/>
          <w:szCs w:val="22"/>
        </w:rPr>
        <w:t>ing</w:t>
      </w:r>
      <w:r w:rsidRPr="00F8667E">
        <w:rPr>
          <w:rFonts w:ascii="Arial" w:hAnsi="Arial" w:cs="Arial"/>
          <w:bCs/>
          <w:spacing w:val="-3"/>
          <w:sz w:val="22"/>
          <w:szCs w:val="22"/>
        </w:rPr>
        <w:t xml:space="preserve"> </w:t>
      </w:r>
      <w:r w:rsidR="003233A3">
        <w:rPr>
          <w:rFonts w:ascii="Arial" w:hAnsi="Arial" w:cs="Arial"/>
          <w:bCs/>
          <w:spacing w:val="-3"/>
          <w:sz w:val="22"/>
          <w:szCs w:val="22"/>
        </w:rPr>
        <w:t xml:space="preserve">that </w:t>
      </w:r>
      <w:r w:rsidRPr="00F8667E">
        <w:rPr>
          <w:rFonts w:ascii="Arial" w:hAnsi="Arial" w:cs="Arial"/>
          <w:bCs/>
          <w:spacing w:val="-3"/>
          <w:sz w:val="22"/>
          <w:szCs w:val="22"/>
        </w:rPr>
        <w:t xml:space="preserve">Indigenous Queenslanders </w:t>
      </w:r>
      <w:r w:rsidR="009F77AA">
        <w:rPr>
          <w:rFonts w:ascii="Arial" w:hAnsi="Arial" w:cs="Arial"/>
          <w:bCs/>
          <w:spacing w:val="-3"/>
          <w:sz w:val="22"/>
          <w:szCs w:val="22"/>
        </w:rPr>
        <w:t xml:space="preserve">may continue to apply for Government grants and </w:t>
      </w:r>
      <w:r w:rsidR="008A26E3">
        <w:rPr>
          <w:rFonts w:ascii="Arial" w:hAnsi="Arial" w:cs="Arial"/>
          <w:bCs/>
          <w:spacing w:val="-3"/>
          <w:sz w:val="22"/>
          <w:szCs w:val="22"/>
        </w:rPr>
        <w:t xml:space="preserve">to </w:t>
      </w:r>
      <w:r w:rsidR="009F77AA">
        <w:rPr>
          <w:rFonts w:ascii="Arial" w:hAnsi="Arial" w:cs="Arial"/>
          <w:bCs/>
          <w:spacing w:val="-3"/>
          <w:sz w:val="22"/>
          <w:szCs w:val="22"/>
        </w:rPr>
        <w:t xml:space="preserve">seek assistance or access </w:t>
      </w:r>
      <w:r w:rsidR="008A26E3">
        <w:rPr>
          <w:rFonts w:ascii="Arial" w:hAnsi="Arial" w:cs="Arial"/>
          <w:bCs/>
          <w:spacing w:val="-3"/>
          <w:sz w:val="22"/>
          <w:szCs w:val="22"/>
        </w:rPr>
        <w:t xml:space="preserve">to </w:t>
      </w:r>
      <w:r w:rsidR="009F77AA">
        <w:rPr>
          <w:rFonts w:ascii="Arial" w:hAnsi="Arial" w:cs="Arial"/>
          <w:bCs/>
          <w:spacing w:val="-3"/>
          <w:sz w:val="22"/>
          <w:szCs w:val="22"/>
        </w:rPr>
        <w:t>business advice from Government agencies or the non-government sector in order to support activity on their traditional lands: any decision to live on outstations must be in the context that people will need to be self-sufficient.</w:t>
      </w:r>
    </w:p>
    <w:p w:rsidR="00AC2F0B" w:rsidRPr="00F8667E" w:rsidRDefault="00AC2F0B" w:rsidP="00AC2F0B">
      <w:pPr>
        <w:jc w:val="both"/>
        <w:rPr>
          <w:rFonts w:ascii="Arial" w:hAnsi="Arial" w:cs="Arial"/>
          <w:sz w:val="22"/>
          <w:szCs w:val="22"/>
        </w:rPr>
      </w:pPr>
    </w:p>
    <w:p w:rsidR="00AC2F0B" w:rsidRDefault="00AC2F0B">
      <w:pPr>
        <w:rPr>
          <w:rFonts w:ascii="Arial" w:hAnsi="Arial" w:cs="Arial"/>
          <w:sz w:val="22"/>
          <w:szCs w:val="22"/>
        </w:rPr>
      </w:pPr>
    </w:p>
    <w:p w:rsidR="003C4CEF" w:rsidRPr="003C4CEF" w:rsidRDefault="003C4CEF" w:rsidP="003C4CEF">
      <w:pPr>
        <w:numPr>
          <w:ilvl w:val="0"/>
          <w:numId w:val="42"/>
        </w:numPr>
        <w:tabs>
          <w:tab w:val="clear" w:pos="720"/>
          <w:tab w:val="num" w:pos="284"/>
        </w:tabs>
        <w:ind w:left="284" w:hanging="284"/>
        <w:jc w:val="both"/>
        <w:rPr>
          <w:rFonts w:ascii="Arial" w:hAnsi="Arial" w:cs="Arial"/>
          <w:bCs/>
          <w:spacing w:val="-3"/>
          <w:sz w:val="22"/>
          <w:szCs w:val="22"/>
        </w:rPr>
      </w:pPr>
      <w:r w:rsidRPr="003C4CEF">
        <w:rPr>
          <w:rFonts w:ascii="Arial" w:hAnsi="Arial" w:cs="Arial"/>
          <w:bCs/>
          <w:i/>
          <w:spacing w:val="-3"/>
          <w:sz w:val="22"/>
          <w:szCs w:val="22"/>
        </w:rPr>
        <w:t>Attachments:</w:t>
      </w:r>
    </w:p>
    <w:p w:rsidR="003C4CEF" w:rsidRPr="003C4CEF" w:rsidRDefault="003C4CEF" w:rsidP="003C4CEF">
      <w:pPr>
        <w:numPr>
          <w:ilvl w:val="0"/>
          <w:numId w:val="43"/>
        </w:numPr>
        <w:jc w:val="both"/>
        <w:rPr>
          <w:rFonts w:ascii="Arial" w:hAnsi="Arial" w:cs="Arial"/>
          <w:bCs/>
          <w:i/>
          <w:spacing w:val="-3"/>
          <w:sz w:val="22"/>
          <w:szCs w:val="22"/>
        </w:rPr>
      </w:pPr>
      <w:r>
        <w:rPr>
          <w:rFonts w:ascii="Arial" w:hAnsi="Arial" w:cs="Arial"/>
          <w:bCs/>
          <w:spacing w:val="-3"/>
          <w:sz w:val="22"/>
          <w:szCs w:val="22"/>
        </w:rPr>
        <w:t>Nil</w:t>
      </w:r>
    </w:p>
    <w:p w:rsidR="00AC2F0B" w:rsidRDefault="00AC2F0B" w:rsidP="009E2D5C">
      <w:pPr>
        <w:spacing w:before="120"/>
        <w:jc w:val="right"/>
      </w:pPr>
    </w:p>
    <w:sectPr w:rsidR="00AC2F0B" w:rsidSect="00AC2F0B">
      <w:headerReference w:type="default" r:id="rId7"/>
      <w:footerReference w:type="default" r:id="rId8"/>
      <w:headerReference w:type="first" r:id="rId9"/>
      <w:foot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16" w:rsidRDefault="00335B16">
      <w:r>
        <w:separator/>
      </w:r>
    </w:p>
  </w:endnote>
  <w:endnote w:type="continuationSeparator" w:id="0">
    <w:p w:rsidR="00335B16" w:rsidRDefault="003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EC" w:rsidRPr="001141E1" w:rsidRDefault="00846BEC" w:rsidP="00AC2F0B">
    <w:pPr>
      <w:pStyle w:val="Footer"/>
      <w:tabs>
        <w:tab w:val="right" w:pos="8820"/>
      </w:tabs>
      <w:rPr>
        <w:rFonts w:ascii="Arial" w:hAnsi="Arial" w:cs="Arial"/>
        <w:sz w:val="16"/>
        <w:szCs w:val="16"/>
      </w:rPr>
    </w:pPr>
    <w:r w:rsidRPr="001141E1">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FE" w:rsidRPr="00B01B7D" w:rsidRDefault="00A61FFE" w:rsidP="00B0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16" w:rsidRDefault="00335B16">
      <w:r>
        <w:separator/>
      </w:r>
    </w:p>
  </w:footnote>
  <w:footnote w:type="continuationSeparator" w:id="0">
    <w:p w:rsidR="00335B16" w:rsidRDefault="0033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EC" w:rsidRPr="000400F9" w:rsidRDefault="002E45FB" w:rsidP="00AC2F0B">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6BEC" w:rsidRPr="000400F9">
      <w:rPr>
        <w:rFonts w:ascii="Arial" w:hAnsi="Arial" w:cs="Arial"/>
        <w:b/>
        <w:sz w:val="22"/>
        <w:szCs w:val="22"/>
        <w:u w:val="single"/>
      </w:rPr>
      <w:t xml:space="preserve">Cabinet – </w:t>
    </w:r>
    <w:r w:rsidR="00846BEC">
      <w:rPr>
        <w:rFonts w:ascii="Arial" w:hAnsi="Arial" w:cs="Arial"/>
        <w:b/>
        <w:sz w:val="22"/>
        <w:szCs w:val="22"/>
        <w:u w:val="single"/>
      </w:rPr>
      <w:t>month year</w:t>
    </w:r>
  </w:p>
  <w:p w:rsidR="00846BEC" w:rsidRDefault="00846BEC" w:rsidP="00AC2F0B">
    <w:pPr>
      <w:pStyle w:val="Header"/>
      <w:spacing w:before="120"/>
      <w:rPr>
        <w:rFonts w:ascii="Arial" w:hAnsi="Arial" w:cs="Arial"/>
        <w:b/>
        <w:sz w:val="22"/>
        <w:szCs w:val="22"/>
        <w:u w:val="single"/>
      </w:rPr>
    </w:pPr>
    <w:r>
      <w:rPr>
        <w:rFonts w:ascii="Arial" w:hAnsi="Arial" w:cs="Arial"/>
        <w:b/>
        <w:sz w:val="22"/>
        <w:szCs w:val="22"/>
        <w:u w:val="single"/>
      </w:rPr>
      <w:t>submission subject</w:t>
    </w:r>
  </w:p>
  <w:p w:rsidR="00846BEC" w:rsidRDefault="00846BEC" w:rsidP="00AC2F0B">
    <w:pPr>
      <w:pStyle w:val="Header"/>
      <w:spacing w:before="120"/>
      <w:rPr>
        <w:rFonts w:ascii="Arial" w:hAnsi="Arial" w:cs="Arial"/>
        <w:b/>
        <w:sz w:val="22"/>
        <w:szCs w:val="22"/>
        <w:u w:val="single"/>
      </w:rPr>
    </w:pPr>
    <w:r>
      <w:rPr>
        <w:rFonts w:ascii="Arial" w:hAnsi="Arial" w:cs="Arial"/>
        <w:b/>
        <w:sz w:val="22"/>
        <w:szCs w:val="22"/>
        <w:u w:val="single"/>
      </w:rPr>
      <w:t>Minister/s title</w:t>
    </w:r>
  </w:p>
  <w:p w:rsidR="00846BEC" w:rsidRPr="00F10DF9" w:rsidRDefault="00846BEC" w:rsidP="00AC2F0B">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EC" w:rsidRPr="000400F9" w:rsidRDefault="002E45FB" w:rsidP="00AC2F0B">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6BEC" w:rsidRPr="000400F9">
      <w:rPr>
        <w:rFonts w:ascii="Arial" w:hAnsi="Arial" w:cs="Arial"/>
        <w:b/>
        <w:sz w:val="22"/>
        <w:szCs w:val="22"/>
        <w:u w:val="single"/>
      </w:rPr>
      <w:t>Cabinet –</w:t>
    </w:r>
    <w:r w:rsidR="00846BEC">
      <w:rPr>
        <w:rFonts w:ascii="Arial" w:hAnsi="Arial" w:cs="Arial"/>
        <w:b/>
        <w:sz w:val="22"/>
        <w:szCs w:val="22"/>
        <w:u w:val="single"/>
      </w:rPr>
      <w:t xml:space="preserve"> March 2010</w:t>
    </w:r>
  </w:p>
  <w:p w:rsidR="00846BEC" w:rsidRPr="00115EE6" w:rsidRDefault="00846BEC" w:rsidP="00AC2F0B">
    <w:pPr>
      <w:keepLines/>
      <w:spacing w:before="240"/>
      <w:jc w:val="both"/>
      <w:rPr>
        <w:b/>
        <w:color w:val="auto"/>
        <w:u w:val="single"/>
      </w:rPr>
    </w:pPr>
    <w:r w:rsidRPr="00115EE6">
      <w:rPr>
        <w:rFonts w:ascii="Arial" w:hAnsi="Arial"/>
        <w:b/>
        <w:sz w:val="22"/>
        <w:u w:val="single"/>
      </w:rPr>
      <w:t>Queensland Government policy position in relation to Outstations.</w:t>
    </w:r>
  </w:p>
  <w:p w:rsidR="00846BEC" w:rsidRPr="00115EE6" w:rsidRDefault="00846BEC" w:rsidP="00AC2F0B">
    <w:pPr>
      <w:pStyle w:val="Header"/>
      <w:spacing w:before="120"/>
      <w:rPr>
        <w:rFonts w:ascii="Arial" w:hAnsi="Arial" w:cs="Arial"/>
        <w:b/>
        <w:sz w:val="22"/>
        <w:szCs w:val="22"/>
        <w:u w:val="single"/>
      </w:rPr>
    </w:pPr>
    <w:r w:rsidRPr="00115EE6">
      <w:rPr>
        <w:rFonts w:ascii="Arial" w:hAnsi="Arial" w:cs="Arial"/>
        <w:b/>
        <w:sz w:val="22"/>
        <w:szCs w:val="22"/>
        <w:u w:val="single"/>
      </w:rPr>
      <w:t>Minister for Local Government and Aboriginal an</w:t>
    </w:r>
    <w:r w:rsidR="00AE1A3A" w:rsidRPr="00115EE6">
      <w:rPr>
        <w:rFonts w:ascii="Arial" w:hAnsi="Arial" w:cs="Arial"/>
        <w:b/>
        <w:sz w:val="22"/>
        <w:szCs w:val="22"/>
        <w:u w:val="single"/>
      </w:rPr>
      <w:t>d Torres Strait Islander</w:t>
    </w:r>
    <w:r w:rsidRPr="00115EE6">
      <w:rPr>
        <w:rFonts w:ascii="Arial" w:hAnsi="Arial" w:cs="Arial"/>
        <w:b/>
        <w:sz w:val="22"/>
        <w:szCs w:val="22"/>
        <w:u w:val="single"/>
      </w:rPr>
      <w:t xml:space="preserve"> Partnerships</w:t>
    </w:r>
  </w:p>
  <w:p w:rsidR="00846BEC" w:rsidRPr="00115EE6" w:rsidRDefault="00846BEC" w:rsidP="00AC2F0B">
    <w:pPr>
      <w:pStyle w:val="Header"/>
      <w:pBdr>
        <w:bottom w:val="single" w:sz="8" w:space="1" w:color="auto"/>
      </w:pBdr>
      <w:spacing w:line="180" w:lineRule="exact"/>
      <w:rPr>
        <w:rFonts w:ascii="Arial" w:hAnsi="Arial" w:cs="Arial"/>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D73E5"/>
    <w:multiLevelType w:val="hybridMultilevel"/>
    <w:tmpl w:val="BC26A114"/>
    <w:lvl w:ilvl="0" w:tplc="0CAEC6BE">
      <w:start w:val="1"/>
      <w:numFmt w:val="decimal"/>
      <w:lvlText w:val="%1."/>
      <w:lvlJc w:val="left"/>
      <w:pPr>
        <w:tabs>
          <w:tab w:val="num" w:pos="360"/>
        </w:tabs>
        <w:ind w:left="360" w:hanging="360"/>
      </w:pPr>
      <w:rPr>
        <w:b w:val="0"/>
        <w:i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1A324C6"/>
    <w:multiLevelType w:val="hybridMultilevel"/>
    <w:tmpl w:val="F98C3CA4"/>
    <w:lvl w:ilvl="0" w:tplc="24B48D42">
      <w:start w:val="1"/>
      <w:numFmt w:val="bullet"/>
      <w:lvlText w:val=""/>
      <w:lvlJc w:val="left"/>
      <w:pPr>
        <w:tabs>
          <w:tab w:val="num" w:pos="643"/>
        </w:tabs>
        <w:ind w:left="643" w:hanging="283"/>
      </w:pPr>
      <w:rPr>
        <w:rFonts w:ascii="Symbol" w:hAnsi="Symbol"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95E78AE"/>
    <w:multiLevelType w:val="hybridMultilevel"/>
    <w:tmpl w:val="68060C9A"/>
    <w:lvl w:ilvl="0" w:tplc="F2B6B032">
      <w:start w:val="1"/>
      <w:numFmt w:val="bullet"/>
      <w:pStyle w:val="Bullet1"/>
      <w:lvlText w:val=""/>
      <w:lvlJc w:val="left"/>
      <w:pPr>
        <w:tabs>
          <w:tab w:val="num" w:pos="737"/>
        </w:tabs>
        <w:ind w:left="737"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60CF5"/>
    <w:multiLevelType w:val="hybridMultilevel"/>
    <w:tmpl w:val="AF32C2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C7558DD"/>
    <w:multiLevelType w:val="hybridMultilevel"/>
    <w:tmpl w:val="9E50CCC0"/>
    <w:lvl w:ilvl="0" w:tplc="498E277C">
      <w:start w:val="1"/>
      <w:numFmt w:val="bullet"/>
      <w:lvlText w:val=""/>
      <w:lvlJc w:val="left"/>
      <w:pPr>
        <w:tabs>
          <w:tab w:val="num" w:pos="360"/>
        </w:tabs>
        <w:ind w:left="360" w:hanging="360"/>
      </w:pPr>
      <w:rPr>
        <w:rFonts w:ascii="Symbol" w:hAnsi="Symbol" w:hint="default"/>
        <w:b w:val="0"/>
        <w:i w:val="0"/>
        <w:color w:val="auto"/>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6255A"/>
    <w:multiLevelType w:val="hybridMultilevel"/>
    <w:tmpl w:val="994C5EE6"/>
    <w:lvl w:ilvl="0" w:tplc="499015E4">
      <w:start w:val="1"/>
      <w:numFmt w:val="bullet"/>
      <w:pStyle w:val="Bullet1a"/>
      <w:lvlText w:val=""/>
      <w:lvlJc w:val="left"/>
      <w:pPr>
        <w:tabs>
          <w:tab w:val="num" w:pos="1191"/>
        </w:tabs>
        <w:ind w:left="119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C3E58"/>
    <w:multiLevelType w:val="hybridMultilevel"/>
    <w:tmpl w:val="BCE888DE"/>
    <w:lvl w:ilvl="0" w:tplc="ADDC5202">
      <w:start w:val="1"/>
      <w:numFmt w:val="bullet"/>
      <w:pStyle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E2CE1"/>
    <w:multiLevelType w:val="hybridMultilevel"/>
    <w:tmpl w:val="D6566436"/>
    <w:lvl w:ilvl="0" w:tplc="8570A5FA">
      <w:start w:val="1"/>
      <w:numFmt w:val="bullet"/>
      <w:lvlText w:val=""/>
      <w:lvlJc w:val="left"/>
      <w:pPr>
        <w:tabs>
          <w:tab w:val="num" w:pos="360"/>
        </w:tabs>
        <w:ind w:left="360" w:hanging="360"/>
      </w:pPr>
      <w:rPr>
        <w:rFonts w:ascii="Symbol" w:hAnsi="Symbol" w:hint="default"/>
        <w:b w:val="0"/>
        <w:i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9770AC8"/>
    <w:multiLevelType w:val="multilevel"/>
    <w:tmpl w:val="D6566436"/>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
  </w:num>
  <w:num w:numId="3">
    <w:abstractNumId w:val="8"/>
  </w:num>
  <w:num w:numId="4">
    <w:abstractNumId w:val="7"/>
  </w:num>
  <w:num w:numId="5">
    <w:abstractNumId w:val="1"/>
  </w:num>
  <w:num w:numId="6">
    <w:abstractNumId w:val="0"/>
  </w:num>
  <w:num w:numId="7">
    <w:abstractNumId w:val="0"/>
  </w:num>
  <w:num w:numId="8">
    <w:abstractNumId w:val="0"/>
  </w:num>
  <w:num w:numId="9">
    <w:abstractNumId w:val="0"/>
  </w:num>
  <w:num w:numId="10">
    <w:abstractNumId w:val="9"/>
  </w:num>
  <w:num w:numId="11">
    <w:abstractNumId w:val="4"/>
  </w:num>
  <w:num w:numId="12">
    <w:abstractNumId w:val="8"/>
  </w:num>
  <w:num w:numId="13">
    <w:abstractNumId w:val="7"/>
  </w:num>
  <w:num w:numId="14">
    <w:abstractNumId w:val="1"/>
  </w:num>
  <w:num w:numId="15">
    <w:abstractNumId w:val="0"/>
  </w:num>
  <w:num w:numId="16">
    <w:abstractNumId w:val="0"/>
  </w:num>
  <w:num w:numId="17">
    <w:abstractNumId w:val="0"/>
  </w:num>
  <w:num w:numId="18">
    <w:abstractNumId w:val="0"/>
  </w:num>
  <w:num w:numId="19">
    <w:abstractNumId w:val="9"/>
  </w:num>
  <w:num w:numId="20">
    <w:abstractNumId w:val="4"/>
  </w:num>
  <w:num w:numId="21">
    <w:abstractNumId w:val="8"/>
  </w:num>
  <w:num w:numId="22">
    <w:abstractNumId w:val="7"/>
  </w:num>
  <w:num w:numId="23">
    <w:abstractNumId w:val="1"/>
  </w:num>
  <w:num w:numId="24">
    <w:abstractNumId w:val="0"/>
  </w:num>
  <w:num w:numId="25">
    <w:abstractNumId w:val="0"/>
  </w:num>
  <w:num w:numId="26">
    <w:abstractNumId w:val="0"/>
  </w:num>
  <w:num w:numId="27">
    <w:abstractNumId w:val="0"/>
  </w:num>
  <w:num w:numId="28">
    <w:abstractNumId w:val="0"/>
  </w:num>
  <w:num w:numId="29">
    <w:abstractNumId w:val="9"/>
  </w:num>
  <w:num w:numId="30">
    <w:abstractNumId w:val="4"/>
  </w:num>
  <w:num w:numId="31">
    <w:abstractNumId w:val="8"/>
  </w:num>
  <w:num w:numId="32">
    <w:abstractNumId w:val="7"/>
  </w:num>
  <w:num w:numId="33">
    <w:abstractNumId w:val="1"/>
  </w:num>
  <w:num w:numId="34">
    <w:abstractNumId w:val="0"/>
  </w:num>
  <w:num w:numId="35">
    <w:abstractNumId w:val="0"/>
  </w:num>
  <w:num w:numId="36">
    <w:abstractNumId w:val="0"/>
  </w:num>
  <w:num w:numId="37">
    <w:abstractNumId w:val="0"/>
  </w:num>
  <w:num w:numId="38">
    <w:abstractNumId w:val="2"/>
  </w:num>
  <w:num w:numId="39">
    <w:abstractNumId w:val="10"/>
  </w:num>
  <w:num w:numId="40">
    <w:abstractNumId w:val="11"/>
  </w:num>
  <w:num w:numId="41">
    <w:abstractNumId w:val="6"/>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0E"/>
    <w:rsid w:val="0006120E"/>
    <w:rsid w:val="000E185F"/>
    <w:rsid w:val="00115EE6"/>
    <w:rsid w:val="00140A5B"/>
    <w:rsid w:val="001B33A2"/>
    <w:rsid w:val="0029707B"/>
    <w:rsid w:val="002E45FB"/>
    <w:rsid w:val="003233A3"/>
    <w:rsid w:val="00335B16"/>
    <w:rsid w:val="003670CD"/>
    <w:rsid w:val="003C4CEF"/>
    <w:rsid w:val="003D4BBB"/>
    <w:rsid w:val="00410D1A"/>
    <w:rsid w:val="00431779"/>
    <w:rsid w:val="004B31E1"/>
    <w:rsid w:val="0058258C"/>
    <w:rsid w:val="007659BD"/>
    <w:rsid w:val="00846BEC"/>
    <w:rsid w:val="008564DF"/>
    <w:rsid w:val="008A26E3"/>
    <w:rsid w:val="008E6F11"/>
    <w:rsid w:val="009767D9"/>
    <w:rsid w:val="009E2D5C"/>
    <w:rsid w:val="009F77AA"/>
    <w:rsid w:val="00A61FFE"/>
    <w:rsid w:val="00A62DEA"/>
    <w:rsid w:val="00AC2F0B"/>
    <w:rsid w:val="00AD6CF3"/>
    <w:rsid w:val="00AE1A3A"/>
    <w:rsid w:val="00AF0B95"/>
    <w:rsid w:val="00B01B7D"/>
    <w:rsid w:val="00B63451"/>
    <w:rsid w:val="00BA60A4"/>
    <w:rsid w:val="00C00BB6"/>
    <w:rsid w:val="00CF061D"/>
    <w:rsid w:val="00CF42E4"/>
    <w:rsid w:val="00D002CE"/>
    <w:rsid w:val="00E70A7B"/>
    <w:rsid w:val="00E71321"/>
    <w:rsid w:val="00EE350E"/>
    <w:rsid w:val="00F04C27"/>
    <w:rsid w:val="00F45297"/>
    <w:rsid w:val="00F54207"/>
    <w:rsid w:val="00F75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14"/>
    <w:rPr>
      <w:color w:val="000000"/>
      <w:sz w:val="24"/>
    </w:rPr>
  </w:style>
  <w:style w:type="paragraph" w:styleId="Heading1">
    <w:name w:val="heading 1"/>
    <w:basedOn w:val="Normal"/>
    <w:next w:val="Normal"/>
    <w:qFormat/>
    <w:rsid w:val="007712A7"/>
    <w:pPr>
      <w:keepNext/>
      <w:numPr>
        <w:numId w:val="37"/>
      </w:numPr>
      <w:spacing w:before="240"/>
      <w:outlineLvl w:val="0"/>
    </w:pPr>
    <w:rPr>
      <w:rFonts w:ascii="Helvetica" w:hAnsi="Helvetica"/>
      <w:b/>
      <w:kern w:val="32"/>
      <w:sz w:val="32"/>
      <w:szCs w:val="32"/>
    </w:rPr>
  </w:style>
  <w:style w:type="paragraph" w:styleId="Heading2">
    <w:name w:val="heading 2"/>
    <w:basedOn w:val="Normal"/>
    <w:next w:val="Normal"/>
    <w:qFormat/>
    <w:rsid w:val="007712A7"/>
    <w:pPr>
      <w:keepNext/>
      <w:numPr>
        <w:ilvl w:val="1"/>
        <w:numId w:val="37"/>
      </w:numPr>
      <w:spacing w:before="180"/>
      <w:outlineLvl w:val="1"/>
    </w:pPr>
    <w:rPr>
      <w:b/>
      <w:sz w:val="28"/>
      <w:szCs w:val="28"/>
    </w:rPr>
  </w:style>
  <w:style w:type="paragraph" w:styleId="Heading3">
    <w:name w:val="heading 3"/>
    <w:basedOn w:val="Normal"/>
    <w:next w:val="Normal"/>
    <w:qFormat/>
    <w:rsid w:val="007712A7"/>
    <w:pPr>
      <w:keepNext/>
      <w:numPr>
        <w:ilvl w:val="2"/>
        <w:numId w:val="37"/>
      </w:numPr>
      <w:spacing w:before="180"/>
      <w:outlineLvl w:val="2"/>
    </w:pPr>
    <w:rPr>
      <w:b/>
      <w:sz w:val="26"/>
      <w:szCs w:val="26"/>
    </w:rPr>
  </w:style>
  <w:style w:type="paragraph" w:styleId="Heading4">
    <w:name w:val="heading 4"/>
    <w:basedOn w:val="Normal"/>
    <w:next w:val="Normal"/>
    <w:qFormat/>
    <w:rsid w:val="007712A7"/>
    <w:pPr>
      <w:keepNext/>
      <w:numPr>
        <w:ilvl w:val="3"/>
        <w:numId w:val="37"/>
      </w:numPr>
      <w:spacing w:before="180"/>
      <w:outlineLvl w:val="3"/>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712A7"/>
    <w:pPr>
      <w:numPr>
        <w:numId w:val="29"/>
      </w:numPr>
    </w:pPr>
  </w:style>
  <w:style w:type="paragraph" w:customStyle="1" w:styleId="Bullet1">
    <w:name w:val="Bullet 1"/>
    <w:basedOn w:val="Normal"/>
    <w:rsid w:val="007712A7"/>
    <w:pPr>
      <w:numPr>
        <w:numId w:val="30"/>
      </w:numPr>
    </w:pPr>
  </w:style>
  <w:style w:type="paragraph" w:customStyle="1" w:styleId="Bullet1a">
    <w:name w:val="Bullet 1(a)"/>
    <w:basedOn w:val="Normal"/>
    <w:rsid w:val="007712A7"/>
    <w:pPr>
      <w:numPr>
        <w:numId w:val="31"/>
      </w:numPr>
    </w:pPr>
  </w:style>
  <w:style w:type="paragraph" w:customStyle="1" w:styleId="Bullet2">
    <w:name w:val="Bullet 2"/>
    <w:basedOn w:val="Normal"/>
    <w:rsid w:val="007712A7"/>
    <w:pPr>
      <w:numPr>
        <w:numId w:val="32"/>
      </w:numPr>
    </w:pPr>
  </w:style>
  <w:style w:type="paragraph" w:customStyle="1" w:styleId="Bullet2b">
    <w:name w:val="Bullet 2(b)"/>
    <w:basedOn w:val="Normal"/>
    <w:rsid w:val="007712A7"/>
    <w:pPr>
      <w:numPr>
        <w:numId w:val="33"/>
      </w:numPr>
    </w:pPr>
  </w:style>
  <w:style w:type="paragraph" w:styleId="Footer">
    <w:name w:val="footer"/>
    <w:basedOn w:val="Normal"/>
    <w:semiHidden/>
    <w:rsid w:val="007712A7"/>
    <w:pPr>
      <w:tabs>
        <w:tab w:val="center" w:pos="4961"/>
        <w:tab w:val="right" w:pos="9923"/>
      </w:tabs>
    </w:pPr>
  </w:style>
  <w:style w:type="paragraph" w:styleId="Header">
    <w:name w:val="header"/>
    <w:basedOn w:val="Normal"/>
    <w:rsid w:val="007712A7"/>
    <w:pPr>
      <w:tabs>
        <w:tab w:val="center" w:pos="4961"/>
        <w:tab w:val="right" w:pos="9923"/>
      </w:tabs>
    </w:pPr>
  </w:style>
  <w:style w:type="paragraph" w:customStyle="1" w:styleId="MainHeading">
    <w:name w:val="Main Heading"/>
    <w:basedOn w:val="Normal"/>
    <w:next w:val="SubHeading"/>
    <w:rsid w:val="007712A7"/>
    <w:pPr>
      <w:jc w:val="center"/>
    </w:pPr>
    <w:rPr>
      <w:rFonts w:ascii="Helvetica" w:hAnsi="Helvetica"/>
      <w:b/>
      <w:sz w:val="40"/>
    </w:rPr>
  </w:style>
  <w:style w:type="paragraph" w:customStyle="1" w:styleId="Normal1">
    <w:name w:val="Normal 1"/>
    <w:basedOn w:val="Normal"/>
    <w:rsid w:val="007712A7"/>
    <w:pPr>
      <w:ind w:left="454" w:hanging="454"/>
    </w:pPr>
  </w:style>
  <w:style w:type="paragraph" w:customStyle="1" w:styleId="Normal1Follower">
    <w:name w:val="Normal 1 Follower"/>
    <w:basedOn w:val="Normal"/>
    <w:rsid w:val="007712A7"/>
    <w:pPr>
      <w:ind w:left="454"/>
    </w:pPr>
  </w:style>
  <w:style w:type="paragraph" w:customStyle="1" w:styleId="Normal1a">
    <w:name w:val="Normal 1(a)"/>
    <w:basedOn w:val="Normal1"/>
    <w:rsid w:val="007712A7"/>
    <w:pPr>
      <w:ind w:left="908"/>
    </w:pPr>
  </w:style>
  <w:style w:type="paragraph" w:customStyle="1" w:styleId="Normal1aFollower">
    <w:name w:val="Normal 1(a) Follower"/>
    <w:basedOn w:val="Normal1Follower"/>
    <w:rsid w:val="007712A7"/>
    <w:pPr>
      <w:ind w:left="907"/>
    </w:pPr>
  </w:style>
  <w:style w:type="paragraph" w:customStyle="1" w:styleId="Normal1ai">
    <w:name w:val="Normal 1(a)(i)"/>
    <w:basedOn w:val="Normal1a"/>
    <w:rsid w:val="007712A7"/>
    <w:pPr>
      <w:ind w:left="1361"/>
    </w:pPr>
  </w:style>
  <w:style w:type="paragraph" w:customStyle="1" w:styleId="Normal1aiFollower">
    <w:name w:val="Normal 1(a)(i) Follower"/>
    <w:basedOn w:val="Normal1aFollower"/>
    <w:rsid w:val="007712A7"/>
    <w:pPr>
      <w:ind w:left="1361"/>
    </w:pPr>
  </w:style>
  <w:style w:type="paragraph" w:customStyle="1" w:styleId="NormalSubhead">
    <w:name w:val="Normal Subhead"/>
    <w:basedOn w:val="Normal"/>
    <w:next w:val="Normal"/>
    <w:rsid w:val="007712A7"/>
    <w:pPr>
      <w:keepNext/>
      <w:spacing w:before="180"/>
    </w:pPr>
    <w:rPr>
      <w:b/>
    </w:rPr>
  </w:style>
  <w:style w:type="paragraph" w:customStyle="1" w:styleId="Quotation">
    <w:name w:val="Quotation"/>
    <w:basedOn w:val="Normal"/>
    <w:rsid w:val="007712A7"/>
    <w:pPr>
      <w:ind w:left="283" w:right="284" w:hanging="113"/>
    </w:pPr>
    <w:rPr>
      <w:sz w:val="22"/>
    </w:rPr>
  </w:style>
  <w:style w:type="paragraph" w:customStyle="1" w:styleId="Resolution">
    <w:name w:val="Resolution"/>
    <w:basedOn w:val="Normal"/>
    <w:rsid w:val="007712A7"/>
    <w:pPr>
      <w:ind w:left="284" w:right="284"/>
    </w:pPr>
    <w:rPr>
      <w:b/>
    </w:rPr>
  </w:style>
  <w:style w:type="paragraph" w:customStyle="1" w:styleId="SubHeading">
    <w:name w:val="Sub Heading"/>
    <w:basedOn w:val="MainHeading"/>
    <w:next w:val="Normal"/>
    <w:rsid w:val="007712A7"/>
    <w:pPr>
      <w:spacing w:before="180"/>
    </w:pPr>
    <w:rPr>
      <w:sz w:val="32"/>
    </w:rPr>
  </w:style>
  <w:style w:type="paragraph" w:styleId="FootnoteText">
    <w:name w:val="footnote text"/>
    <w:basedOn w:val="Normal"/>
    <w:semiHidden/>
    <w:rsid w:val="007712A7"/>
    <w:pPr>
      <w:ind w:left="227" w:hanging="227"/>
    </w:pPr>
    <w:rPr>
      <w:sz w:val="22"/>
    </w:rPr>
  </w:style>
  <w:style w:type="character" w:styleId="PageNumber">
    <w:name w:val="page number"/>
    <w:basedOn w:val="DefaultParagraphFont"/>
    <w:rsid w:val="007712A7"/>
    <w:rPr>
      <w:sz w:val="24"/>
    </w:rPr>
  </w:style>
  <w:style w:type="table" w:styleId="TableGrid">
    <w:name w:val="Table Grid"/>
    <w:basedOn w:val="TableNormal"/>
    <w:rsid w:val="007712A7"/>
    <w:pPr>
      <w:spacing w:before="12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6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1829</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The Queensland Government has committed to the National Indigenous Reform Agreement (NIRA), to close the gap in life outcomes a</vt:lpstr>
    </vt:vector>
  </TitlesOfParts>
  <Manager/>
  <Company/>
  <LinksUpToDate>false</LinksUpToDate>
  <CharactersWithSpaces>2140</CharactersWithSpaces>
  <SharedDoc>false</SharedDoc>
  <HyperlinkBase>https://www.cabinet.qld.gov.au/documents/2010/Mar/Outstations/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Queensland Government has committed to the National Indigenous Reform Agreement (NIRA), to close the gap in life outcomes a</dc:title>
  <dc:subject/>
  <dc:creator/>
  <cp:keywords>Aboriginal_and_Torres_Strait_Islander,Indigenous,COAG,Infrastructure,Housing,Remote,Rural,Outstations,Grants</cp:keywords>
  <cp:lastModifiedBy/>
  <cp:revision>2</cp:revision>
  <cp:lastPrinted>2010-06-08T04:07:00Z</cp:lastPrinted>
  <dcterms:created xsi:type="dcterms:W3CDTF">2017-10-24T22:20:00Z</dcterms:created>
  <dcterms:modified xsi:type="dcterms:W3CDTF">2018-03-06T01:03:00Z</dcterms:modified>
  <cp:category>Aboriginal_and_Torres_Strait_Islander,Indigenous,COAG,Infrastructure,Housing</cp:category>
</cp:coreProperties>
</file>